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IBM Plex Serif" w:cs="IBM Plex Serif" w:eastAsia="IBM Plex Serif" w:hAnsi="IBM Plex Serif"/>
          <w:b/>
          <w:bCs/>
          <w:color w:val="20242E"/>
          <w:sz w:val="34"/>
          <w:szCs w:val="34"/>
        </w:rPr>
        <w:t xml:space="preserve">DI-A-Chrono — Document de suivi du projet</w:t>
      </w:r>
    </w:p>
    <w:p>
      <w:pPr>
        <w:spacing w:after="160" w:before="0"/>
      </w:pPr>
      <w:r>
        <w:rPr>
          <w:rFonts w:ascii="IBM Plex Sans" w:cs="IBM Plex Sans" w:eastAsia="IBM Plex Sans" w:hAnsi="IBM Plex Sans"/>
          <w:i/>
          <w:iCs/>
          <w:color w:val="20242E"/>
          <w:sz w:val="21"/>
          <w:szCs w:val="21"/>
        </w:rPr>
        <w:t xml:space="preserve">Récapitulatif évolutif — décisions méthodologiques, données, versions de l'outil</w:t>
      </w:r>
    </w:p>
    <w:p>
      <w:pPr>
        <w:spacing w:after="120" w:before="0"/>
      </w:pPr>
      <w:r>
        <w:rPr>
          <w:rFonts w:ascii="IBM Plex Sans" w:cs="IBM Plex Sans" w:eastAsia="IBM Plex Sans" w:hAnsi="IBM Plex Sans"/>
          <w:b/>
          <w:bCs/>
          <w:color w:val="20242E"/>
          <w:sz w:val="21"/>
          <w:szCs w:val="21"/>
        </w:rPr>
        <w:t xml:space="preserve">Version du document : </w:t>
      </w:r>
      <w:r>
        <w:rPr>
          <w:rFonts w:ascii="IBM Plex Sans" w:cs="IBM Plex Sans" w:eastAsia="IBM Plex Sans" w:hAnsi="IBM Plex Sans"/>
          <w:color w:val="20242E"/>
          <w:sz w:val="21"/>
          <w:szCs w:val="21"/>
        </w:rPr>
        <w:t xml:space="preserve">1.3 — 7 septembre 2026. </w:t>
      </w:r>
      <w:r>
        <w:rPr>
          <w:rFonts w:ascii="IBM Plex Sans" w:cs="IBM Plex Sans" w:eastAsia="IBM Plex Sans" w:hAnsi="IBM Plex Sans"/>
          <w:b/>
          <w:bCs/>
          <w:color w:val="20242E"/>
          <w:sz w:val="21"/>
          <w:szCs w:val="21"/>
        </w:rPr>
        <w:t xml:space="preserve">Tenu par : </w:t>
      </w:r>
      <w:r>
        <w:rPr>
          <w:rFonts w:ascii="IBM Plex Sans" w:cs="IBM Plex Sans" w:eastAsia="IBM Plex Sans" w:hAnsi="IBM Plex Sans"/>
          <w:color w:val="20242E"/>
          <w:sz w:val="21"/>
          <w:szCs w:val="21"/>
        </w:rPr>
        <w:t xml:space="preserve">Karim (coordination), avec Claude (assistance technique). </w:t>
      </w:r>
      <w:r>
        <w:rPr>
          <w:rFonts w:ascii="IBM Plex Sans" w:cs="IBM Plex Sans" w:eastAsia="IBM Plex Sans" w:hAnsi="IBM Plex Sans"/>
          <w:b/>
          <w:bCs/>
          <w:color w:val="20242E"/>
          <w:sz w:val="21"/>
          <w:szCs w:val="21"/>
        </w:rPr>
        <w:t xml:space="preserve">Référents scientifiques : </w:t>
      </w:r>
      <w:r>
        <w:rPr>
          <w:rFonts w:ascii="IBM Plex Sans" w:cs="IBM Plex Sans" w:eastAsia="IBM Plex Sans" w:hAnsi="IBM Plex Sans"/>
          <w:color w:val="20242E"/>
          <w:sz w:val="21"/>
          <w:szCs w:val="21"/>
        </w:rPr>
        <w:t xml:space="preserve">Thierry (céramique, méthodologie de datation), Francesca (verre).</w:t>
      </w:r>
    </w:p>
    <w:p>
      <w:pPr>
        <w:spacing w:after="120" w:before="0"/>
      </w:pPr>
      <w:r>
        <w:rPr>
          <w:rFonts w:ascii="IBM Plex Sans" w:cs="IBM Plex Sans" w:eastAsia="IBM Plex Sans" w:hAnsi="IBM Plex Sans"/>
          <w:i/>
          <w:iCs/>
          <w:color w:val="20242E"/>
          <w:sz w:val="21"/>
          <w:szCs w:val="21"/>
        </w:rPr>
        <w:t xml:space="preserve">Ce document est mis à jour à chaque étape marquante du projet : nouvelles données, décisions méthodologiques, versions de l'outil. Le tableau de suivi en fin de document trace ses évolutions.</w:t>
      </w:r>
    </w:p>
    <w:p>
      <w:pPr>
        <w:pStyle w:val="Heading1"/>
        <w:spacing w:after="140" w:before="320"/>
      </w:pPr>
      <w:r>
        <w:rPr>
          <w:rFonts w:ascii="IBM Plex Serif" w:cs="IBM Plex Serif" w:eastAsia="IBM Plex Serif" w:hAnsi="IBM Plex Serif"/>
          <w:b/>
          <w:bCs/>
          <w:color w:val="20242E"/>
          <w:sz w:val="28"/>
          <w:szCs w:val="28"/>
        </w:rPr>
        <w:t xml:space="preserve">1. Le projet en bref</w:t>
      </w:r>
    </w:p>
    <w:p>
      <w:pPr>
        <w:spacing w:after="120" w:before="0"/>
      </w:pPr>
      <w:r>
        <w:rPr>
          <w:rFonts w:ascii="IBM Plex Sans" w:cs="IBM Plex Sans" w:eastAsia="IBM Plex Sans" w:hAnsi="IBM Plex Sans"/>
          <w:color w:val="20242E"/>
          <w:sz w:val="21"/>
          <w:szCs w:val="21"/>
        </w:rPr>
        <w:t xml:space="preserve">DI-A-Chrono est un outil d'analyse chronologique des contextes romains développé pour les fouilles d'Archeodunum (pilote : données transmises par Thierry ; cible : Prés-de-Vidy, Lausanne ; première application externe : Yverdon-les-Bains, Curtil-Maillet 27). Le raisonnement de datation (TPQ, TAQ, pondération quantitative, reports stratigraphiques, résiduels) est confié à un </w:t>
      </w:r>
      <w:r>
        <w:rPr>
          <w:rFonts w:ascii="IBM Plex Sans" w:cs="IBM Plex Sans" w:eastAsia="IBM Plex Sans" w:hAnsi="IBM Plex Sans"/>
          <w:b/>
          <w:bCs/>
          <w:color w:val="20242E"/>
          <w:sz w:val="21"/>
          <w:szCs w:val="21"/>
        </w:rPr>
        <w:t xml:space="preserve">moteur déterministe, traçable et auditable</w:t>
      </w:r>
      <w:r>
        <w:rPr>
          <w:rFonts w:ascii="IBM Plex Sans" w:cs="IBM Plex Sans" w:eastAsia="IBM Plex Sans" w:hAnsi="IBM Plex Sans"/>
          <w:color w:val="20242E"/>
          <w:sz w:val="21"/>
          <w:szCs w:val="21"/>
        </w:rPr>
        <w:t xml:space="preserve"> : chaque date renvoie à un marqueur, une US et une référence bibliographique. L'IA générative est cantonnée à la normalisation des désignations et à la rédaction — jamais au calcul.</w:t>
      </w:r>
    </w:p>
    <w:p>
      <w:pPr>
        <w:spacing w:after="120" w:before="0"/>
      </w:pPr>
      <w:r>
        <w:rPr>
          <w:rFonts w:ascii="IBM Plex Sans" w:cs="IBM Plex Sans" w:eastAsia="IBM Plex Sans" w:hAnsi="IBM Plex Sans"/>
          <w:color w:val="20242E"/>
          <w:sz w:val="21"/>
          <w:szCs w:val="21"/>
        </w:rPr>
        <w:t xml:space="preserve">L'outil est déployé en ligne sur </w:t>
      </w:r>
      <w:r>
        <w:rPr>
          <w:rFonts w:ascii="IBM Plex Sans" w:cs="IBM Plex Sans" w:eastAsia="IBM Plex Sans" w:hAnsi="IBM Plex Sans"/>
          <w:b/>
          <w:bCs/>
          <w:color w:val="20242E"/>
          <w:sz w:val="21"/>
          <w:szCs w:val="21"/>
        </w:rPr>
        <w:t xml:space="preserve">dia.archeodunum.ch</w:t>
      </w:r>
      <w:r>
        <w:rPr>
          <w:rFonts w:ascii="IBM Plex Sans" w:cs="IBM Plex Sans" w:eastAsia="IBM Plex Sans" w:hAnsi="IBM Plex Sans"/>
          <w:color w:val="20242E"/>
          <w:sz w:val="21"/>
          <w:szCs w:val="21"/>
        </w:rPr>
        <w:t xml:space="preserve"> (accès par comptes personnels, données versionnées, journal des modifications), avec une implémentation de référence en Python maintenue en parallèle. Depuis le 31 août, une page d'accueil-menu oriente après connexion vers les différents sites et versions. Depuis le 2 septembre, le dépôt local de calcul est formalisé en « kit local » versionné par manifeste (empreintes SHA-256).</w:t>
      </w:r>
    </w:p>
    <w:p>
      <w:pPr>
        <w:pStyle w:val="Heading1"/>
        <w:spacing w:after="140" w:before="320"/>
      </w:pPr>
      <w:r>
        <w:rPr>
          <w:rFonts w:ascii="IBM Plex Serif" w:cs="IBM Plex Serif" w:eastAsia="IBM Plex Serif" w:hAnsi="IBM Plex Serif"/>
          <w:b/>
          <w:bCs/>
          <w:color w:val="20242E"/>
          <w:sz w:val="28"/>
          <w:szCs w:val="28"/>
        </w:rPr>
        <w:t xml:space="preserve">2. Décisions méthodologiques actées</w:t>
      </w:r>
    </w:p>
    <w:p>
      <w:pPr>
        <w:spacing w:after="120" w:before="0"/>
      </w:pPr>
      <w:r>
        <w:rPr>
          <w:rFonts w:ascii="IBM Plex Sans" w:cs="IBM Plex Sans" w:eastAsia="IBM Plex Sans" w:hAnsi="IBM Plex Sans"/>
          <w:i/>
          <w:iCs/>
          <w:color w:val="20242E"/>
          <w:sz w:val="21"/>
          <w:szCs w:val="21"/>
        </w:rPr>
        <w:t xml:space="preserve">Chaque décision est datée et attribuée ; ce chapitre fait foi en cas de doute.</w:t>
      </w:r>
    </w:p>
    <w:p>
      <w:pPr>
        <w:pStyle w:val="Heading2"/>
        <w:spacing w:after="110" w:before="240"/>
      </w:pPr>
      <w:r>
        <w:rPr>
          <w:rFonts w:ascii="IBM Plex Serif" w:cs="IBM Plex Serif" w:eastAsia="IBM Plex Serif" w:hAnsi="IBM Plex Serif"/>
          <w:b/>
          <w:bCs/>
          <w:color w:val="2A4763"/>
          <w:sz w:val="24"/>
          <w:szCs w:val="24"/>
        </w:rPr>
        <w:t xml:space="preserve">2.1 Le référentiel est la source unique des fourchettes (30.07.2026, Thierry)</w:t>
      </w:r>
    </w:p>
    <w:p>
      <w:pPr>
        <w:spacing w:after="120" w:before="0"/>
      </w:pPr>
      <w:r>
        <w:rPr>
          <w:rFonts w:ascii="IBM Plex Sans" w:cs="IBM Plex Sans" w:eastAsia="IBM Plex Sans" w:hAnsi="IBM Plex Sans"/>
          <w:color w:val="20242E"/>
          <w:sz w:val="21"/>
          <w:szCs w:val="21"/>
        </w:rPr>
        <w:t xml:space="preserve">Les inventaires de terrain ne répètent </w:t>
      </w:r>
      <w:r>
        <w:rPr>
          <w:rFonts w:ascii="IBM Plex Sans" w:cs="IBM Plex Sans" w:eastAsia="IBM Plex Sans" w:hAnsi="IBM Plex Sans"/>
          <w:b/>
          <w:bCs/>
          <w:color w:val="20242E"/>
          <w:sz w:val="21"/>
          <w:szCs w:val="21"/>
        </w:rPr>
        <w:t xml:space="preserve">pas</w:t>
      </w:r>
      <w:r>
        <w:rPr>
          <w:rFonts w:ascii="IBM Plex Sans" w:cs="IBM Plex Sans" w:eastAsia="IBM Plex Sans" w:hAnsi="IBM Plex Sans"/>
          <w:color w:val="20242E"/>
          <w:sz w:val="21"/>
          <w:szCs w:val="21"/>
        </w:rPr>
        <w:t xml:space="preserve"> les fourchettes chronologiques des types : à l'échelle du corpus (déjà </w:t>
      </w:r>
      <w:r>
        <w:rPr>
          <w:rFonts w:ascii="IBM Plex Sans" w:cs="IBM Plex Sans" w:eastAsia="IBM Plex Sans" w:hAnsi="IBM Plex Sans"/>
          <w:b/>
          <w:bCs/>
          <w:color w:val="20242E"/>
          <w:sz w:val="21"/>
          <w:szCs w:val="21"/>
        </w:rPr>
        <w:t xml:space="preserve">170 000 fragments de céramique enregistrés</w:t>
      </w:r>
      <w:r>
        <w:rPr>
          <w:rFonts w:ascii="IBM Plex Sans" w:cs="IBM Plex Sans" w:eastAsia="IBM Plex Sans" w:hAnsi="IBM Plex Sans"/>
          <w:color w:val="20242E"/>
          <w:sz w:val="21"/>
          <w:szCs w:val="21"/>
        </w:rPr>
        <w:t xml:space="preserve">), cette répétition serait inutile et source d'erreurs. L'association inventaire ↔ fourchettes sera réalisée </w:t>
      </w:r>
      <w:r>
        <w:rPr>
          <w:rFonts w:ascii="IBM Plex Sans" w:cs="IBM Plex Sans" w:eastAsia="IBM Plex Sans" w:hAnsi="IBM Plex Sans"/>
          <w:b/>
          <w:bCs/>
          <w:color w:val="20242E"/>
          <w:sz w:val="21"/>
          <w:szCs w:val="21"/>
        </w:rPr>
        <w:t xml:space="preserve">de manière systématique et automatique</w:t>
      </w:r>
      <w:r>
        <w:rPr>
          <w:rFonts w:ascii="IBM Plex Sans" w:cs="IBM Plex Sans" w:eastAsia="IBM Plex Sans" w:hAnsi="IBM Plex Sans"/>
          <w:color w:val="20242E"/>
          <w:sz w:val="21"/>
          <w:szCs w:val="21"/>
        </w:rPr>
        <w:t xml:space="preserve"> en fin d'opération, via le répertoire des marqueurs. La colonne « Chrono » de l'inventaire céramique ne porte un TPQ que dans de rares cas particuliers.</w:t>
      </w:r>
    </w:p>
    <w:p>
      <w:pPr>
        <w:spacing w:after="120" w:before="0"/>
      </w:pPr>
      <w:r>
        <w:rPr>
          <w:rFonts w:ascii="IBM Plex Sans" w:cs="IBM Plex Sans" w:eastAsia="IBM Plex Sans" w:hAnsi="IBM Plex Sans"/>
          <w:i/>
          <w:iCs/>
          <w:color w:val="20242E"/>
          <w:sz w:val="21"/>
          <w:szCs w:val="21"/>
        </w:rPr>
        <w:t xml:space="preserve">Conséquence pour l'outil : architecture à référentiel central validée. Le répertoire des marqueurs céramiques (avec fourchettes) est annoncé par Thierry ; le brouillon auto-extrait de l'inventaire (581 marqueurs) servira de liste de contrôle croisée. Nota (31.08) : le corpus Yverdon, plus petit, porte ses fourchettes ligne à ligne — asymétrie assumée, cf. § 2.3.</w:t>
      </w:r>
    </w:p>
    <w:p>
      <w:pPr>
        <w:pStyle w:val="Heading2"/>
        <w:spacing w:after="110" w:before="240"/>
      </w:pPr>
      <w:r>
        <w:rPr>
          <w:rFonts w:ascii="IBM Plex Serif" w:cs="IBM Plex Serif" w:eastAsia="IBM Plex Serif" w:hAnsi="IBM Plex Serif"/>
          <w:b/>
          <w:bCs/>
          <w:color w:val="2A4763"/>
          <w:sz w:val="24"/>
          <w:szCs w:val="24"/>
        </w:rPr>
        <w:t xml:space="preserve">2.2 Les quantifications se font à l'échelle de la structure (30.07.2026, Thierry)</w:t>
      </w:r>
    </w:p>
    <w:p>
      <w:pPr>
        <w:spacing w:after="120" w:before="0"/>
      </w:pPr>
      <w:r>
        <w:rPr>
          <w:rFonts w:ascii="IBM Plex Sans" w:cs="IBM Plex Sans" w:eastAsia="IBM Plex Sans" w:hAnsi="IBM Plex Sans"/>
          <w:color w:val="20242E"/>
          <w:sz w:val="21"/>
          <w:szCs w:val="21"/>
        </w:rPr>
        <w:t xml:space="preserve">Pour la céramique et ses très nombreux individus, le NMI par US ou par subdivision d'US n'a pas de sens : les calculs quantitatifs, pour être signifiants, doivent être menés à l'échelle de la structure (ST). Ils pourront être automatisés par l'outil à partir des comptages ligne à ligne de l'inventaire (bords, NR).</w:t>
      </w:r>
    </w:p>
    <w:p>
      <w:pPr>
        <w:spacing w:after="120" w:before="0"/>
      </w:pPr>
      <w:r>
        <w:rPr>
          <w:rFonts w:ascii="IBM Plex Sans" w:cs="IBM Plex Sans" w:eastAsia="IBM Plex Sans" w:hAnsi="IBM Plex Sans"/>
          <w:i/>
          <w:iCs/>
          <w:color w:val="20242E"/>
          <w:sz w:val="21"/>
          <w:szCs w:val="21"/>
        </w:rPr>
        <w:t xml:space="preserve">Première application complète : les comptages NMI/NR d'Yverdon (31.08).</w:t>
      </w:r>
    </w:p>
    <w:p>
      <w:pPr>
        <w:pStyle w:val="Heading2"/>
        <w:spacing w:after="110" w:before="240"/>
      </w:pPr>
      <w:r>
        <w:rPr>
          <w:rFonts w:ascii="IBM Plex Serif" w:cs="IBM Plex Serif" w:eastAsia="IBM Plex Serif" w:hAnsi="IBM Plex Serif"/>
          <w:b/>
          <w:bCs/>
          <w:color w:val="2A4763"/>
          <w:sz w:val="24"/>
          <w:szCs w:val="24"/>
        </w:rPr>
        <w:t xml:space="preserve">2.3 Deux échelles, deux niveaux de précision (30.07.2026, Thierry)</w:t>
      </w:r>
    </w:p>
    <w:p>
      <w:pPr>
        <w:spacing w:after="120" w:before="0"/>
      </w:pPr>
      <w:r>
        <w:rPr>
          <w:rFonts w:ascii="IBM Plex Sans" w:cs="IBM Plex Sans" w:eastAsia="IBM Plex Sans" w:hAnsi="IBM Plex Sans"/>
          <w:color w:val="20242E"/>
          <w:sz w:val="21"/>
          <w:szCs w:val="21"/>
        </w:rPr>
        <w:t xml:space="preserve">Le fichier verre (Francesca) est plus précis que celui de la céramique — fourchettes complètes par objet, NMI explicite — parce que les deux corpus ne travaillent pas à la même échelle quantitative. Cette asymétrie est assumée et documentée : le verre alimente directement le référentiel ; la céramique l'alimente par son répertoire dédié.</w:t>
      </w:r>
    </w:p>
    <w:p>
      <w:pPr>
        <w:pStyle w:val="Heading2"/>
        <w:spacing w:after="110" w:before="240"/>
      </w:pPr>
      <w:r>
        <w:rPr>
          <w:rFonts w:ascii="IBM Plex Serif" w:cs="IBM Plex Serif" w:eastAsia="IBM Plex Serif" w:hAnsi="IBM Plex Serif"/>
          <w:b/>
          <w:bCs/>
          <w:color w:val="2A4763"/>
          <w:sz w:val="24"/>
          <w:szCs w:val="24"/>
        </w:rPr>
        <w:t xml:space="preserve">2.4 Décisions antérieures (juin–juillet 2026)</w:t>
      </w:r>
    </w:p>
    <w:p>
      <w:pPr>
        <w:pStyle w:val="ListParagraph"/>
        <w:numPr>
          <w:ilvl w:val="0"/>
          <w:numId w:val="2"/>
        </w:numPr>
        <w:spacing w:after="100"/>
      </w:pPr>
      <w:r>
        <w:rPr>
          <w:rFonts w:ascii="IBM Plex Sans" w:cs="IBM Plex Sans" w:eastAsia="IBM Plex Sans" w:hAnsi="IBM Plex Sans"/>
          <w:b/>
          <w:bCs/>
          <w:color w:val="20242E"/>
          <w:sz w:val="21"/>
          <w:szCs w:val="21"/>
        </w:rPr>
        <w:t xml:space="preserve">Colonne fiabilité (1–3) au référentiel</w:t>
      </w:r>
      <w:r>
        <w:rPr>
          <w:rFonts w:ascii="IBM Plex Sans" w:cs="IBM Plex Sans" w:eastAsia="IBM Plex Sans" w:hAnsi="IBM Plex Sans"/>
          <w:color w:val="20242E"/>
          <w:sz w:val="21"/>
          <w:szCs w:val="21"/>
        </w:rPr>
        <w:t xml:space="preserve"> : stockée et affichée, hors calcul jusqu'au module probabiliste.</w:t>
      </w:r>
    </w:p>
    <w:p>
      <w:pPr>
        <w:pStyle w:val="ListParagraph"/>
        <w:numPr>
          <w:ilvl w:val="0"/>
          <w:numId w:val="2"/>
        </w:numPr>
        <w:spacing w:after="100"/>
      </w:pPr>
      <w:r>
        <w:rPr>
          <w:rFonts w:ascii="IBM Plex Sans" w:cs="IBM Plex Sans" w:eastAsia="IBM Plex Sans" w:hAnsi="IBM Plex Sans"/>
          <w:b/>
          <w:bCs/>
          <w:color w:val="20242E"/>
          <w:sz w:val="21"/>
          <w:szCs w:val="21"/>
        </w:rPr>
        <w:t xml:space="preserve">Contrôle de validité du référentiel</w:t>
      </w:r>
      <w:r>
        <w:rPr>
          <w:rFonts w:ascii="IBM Plex Sans" w:cs="IBM Plex Sans" w:eastAsia="IBM Plex Sans" w:hAnsi="IBM Plex Sans"/>
          <w:color w:val="20242E"/>
          <w:sz w:val="21"/>
          <w:szCs w:val="21"/>
        </w:rPr>
        <w:t xml:space="preserve"> : fourchette inversée = marqueur écarté + drapeau — jamais de correction silencieuse (cas fondateur Serv. A, 60–17 pour 60–170).</w:t>
      </w:r>
    </w:p>
    <w:p>
      <w:pPr>
        <w:pStyle w:val="ListParagraph"/>
        <w:numPr>
          <w:ilvl w:val="0"/>
          <w:numId w:val="2"/>
        </w:numPr>
        <w:spacing w:after="100"/>
      </w:pPr>
      <w:r>
        <w:rPr>
          <w:rFonts w:ascii="IBM Plex Sans" w:cs="IBM Plex Sans" w:eastAsia="IBM Plex Sans" w:hAnsi="IBM Plex Sans"/>
          <w:b/>
          <w:bCs/>
          <w:color w:val="20242E"/>
          <w:sz w:val="21"/>
          <w:szCs w:val="21"/>
        </w:rPr>
        <w:t xml:space="preserve">Groupes A / B</w:t>
      </w:r>
      <w:r>
        <w:rPr>
          <w:rFonts w:ascii="IBM Plex Sans" w:cs="IBM Plex Sans" w:eastAsia="IBM Plex Sans" w:hAnsi="IBM Plex Sans"/>
          <w:color w:val="20242E"/>
          <w:sz w:val="21"/>
          <w:szCs w:val="21"/>
        </w:rPr>
        <w:t xml:space="preserve"> : datation ponctuelle (fermeture) vs période de constitution ; répertoire A/B annoncé par Thierry.</w:t>
      </w:r>
    </w:p>
    <w:p>
      <w:pPr>
        <w:pStyle w:val="ListParagraph"/>
        <w:numPr>
          <w:ilvl w:val="0"/>
          <w:numId w:val="2"/>
        </w:numPr>
        <w:spacing w:after="100"/>
      </w:pPr>
      <w:r>
        <w:rPr>
          <w:rFonts w:ascii="IBM Plex Sans" w:cs="IBM Plex Sans" w:eastAsia="IBM Plex Sans" w:hAnsi="IBM Plex Sans"/>
          <w:b/>
          <w:bCs/>
          <w:color w:val="20242E"/>
          <w:sz w:val="21"/>
          <w:szCs w:val="21"/>
        </w:rPr>
        <w:t xml:space="preserve">Éléments bâtis</w:t>
      </w:r>
      <w:r>
        <w:rPr>
          <w:rFonts w:ascii="IBM Plex Sans" w:cs="IBM Plex Sans" w:eastAsia="IBM Plex Sans" w:hAnsi="IBM Plex Sans"/>
          <w:color w:val="20242E"/>
          <w:sz w:val="21"/>
          <w:szCs w:val="21"/>
        </w:rPr>
        <w:t xml:space="preserve"> : un mur se date par sa construction ; formulation du verdict et mode « stratigraphie de bâti » à arbitrer.</w:t>
      </w:r>
    </w:p>
    <w:p>
      <w:pPr>
        <w:pStyle w:val="ListParagraph"/>
        <w:numPr>
          <w:ilvl w:val="0"/>
          <w:numId w:val="2"/>
        </w:numPr>
        <w:spacing w:after="100"/>
      </w:pPr>
      <w:r>
        <w:rPr>
          <w:rFonts w:ascii="IBM Plex Sans" w:cs="IBM Plex Sans" w:eastAsia="IBM Plex Sans" w:hAnsi="IBM Plex Sans"/>
          <w:b/>
          <w:bCs/>
          <w:color w:val="20242E"/>
          <w:sz w:val="21"/>
          <w:szCs w:val="21"/>
        </w:rPr>
        <w:t xml:space="preserve">Monnaies</w:t>
      </w:r>
      <w:r>
        <w:rPr>
          <w:rFonts w:ascii="IBM Plex Sans" w:cs="IBM Plex Sans" w:eastAsia="IBM Plex Sans" w:hAnsi="IBM Plex Sans"/>
          <w:color w:val="20242E"/>
          <w:sz w:val="21"/>
          <w:szCs w:val="21"/>
        </w:rPr>
        <w:t xml:space="preserve"> : TPQ uniquement (longue circulation), jamais de borne haute ; « fréquence » estimative sans effet sur le calcul.</w:t>
      </w:r>
    </w:p>
    <w:p>
      <w:pPr>
        <w:pStyle w:val="Heading2"/>
        <w:spacing w:after="110" w:before="240"/>
      </w:pPr>
      <w:r>
        <w:rPr>
          <w:rFonts w:ascii="IBM Plex Serif" w:cs="IBM Plex Serif" w:eastAsia="IBM Plex Serif" w:hAnsi="IBM Plex Serif"/>
          <w:b/>
          <w:bCs/>
          <w:color w:val="2A4763"/>
          <w:sz w:val="24"/>
          <w:szCs w:val="24"/>
        </w:rPr>
        <w:t xml:space="preserve">2.5 Conventions Yverdon proposées — en attente d'arbitrage (31.08.2026)</w:t>
      </w:r>
    </w:p>
    <w:p>
      <w:pPr>
        <w:spacing w:after="120" w:before="0"/>
      </w:pPr>
      <w:r>
        <w:rPr>
          <w:rFonts w:ascii="IBM Plex Sans" w:cs="IBM Plex Sans" w:eastAsia="IBM Plex Sans" w:hAnsi="IBM Plex Sans"/>
          <w:i/>
          <w:iCs/>
          <w:color w:val="20242E"/>
          <w:sz w:val="21"/>
          <w:szCs w:val="21"/>
        </w:rPr>
        <w:t xml:space="preserve">Appliquées à l'analyse Curtil-Maillet et formalisées dans la note de lecture ; aucune n'est actée à ce stade.</w:t>
      </w:r>
    </w:p>
    <w:p>
      <w:pPr>
        <w:pStyle w:val="ListParagraph"/>
        <w:numPr>
          <w:ilvl w:val="0"/>
          <w:numId w:val="2"/>
        </w:numPr>
        <w:spacing w:after="100"/>
      </w:pPr>
      <w:r>
        <w:rPr>
          <w:rFonts w:ascii="IBM Plex Sans" w:cs="IBM Plex Sans" w:eastAsia="IBM Plex Sans" w:hAnsi="IBM Plex Sans"/>
          <w:color w:val="20242E"/>
          <w:sz w:val="21"/>
          <w:szCs w:val="21"/>
        </w:rPr>
        <w:t xml:space="preserve">Lecture « 150/80 » = « 150/180 » (décennie abrégée).</w:t>
      </w:r>
    </w:p>
    <w:p>
      <w:pPr>
        <w:pStyle w:val="ListParagraph"/>
        <w:numPr>
          <w:ilvl w:val="0"/>
          <w:numId w:val="2"/>
        </w:numPr>
        <w:spacing w:after="100"/>
      </w:pPr>
      <w:r>
        <w:rPr>
          <w:rFonts w:ascii="IBM Plex Sans" w:cs="IBM Plex Sans" w:eastAsia="IBM Plex Sans" w:hAnsi="IBM Plex Sans"/>
          <w:color w:val="20242E"/>
          <w:sz w:val="21"/>
          <w:szCs w:val="21"/>
        </w:rPr>
        <w:t xml:space="preserve">NMI = somme des bords par catégorie, minimum 1 par catégorie présente.</w:t>
      </w:r>
    </w:p>
    <w:p>
      <w:pPr>
        <w:pStyle w:val="ListParagraph"/>
        <w:numPr>
          <w:ilvl w:val="0"/>
          <w:numId w:val="2"/>
        </w:numPr>
        <w:spacing w:after="100"/>
      </w:pPr>
      <w:r>
        <w:rPr>
          <w:rFonts w:ascii="IBM Plex Sans" w:cs="IBM Plex Sans" w:eastAsia="IBM Plex Sans" w:hAnsi="IBM Plex Sans"/>
          <w:color w:val="20242E"/>
          <w:sz w:val="21"/>
          <w:szCs w:val="21"/>
        </w:rPr>
        <w:t xml:space="preserve">Seuil de renoncement : 0 marqueur datant = non datable en l'état ; &lt; 3 NMI pondérés = « à titre d'indice » — question de la monnaie déterminée seule (ST 7).</w:t>
      </w:r>
    </w:p>
    <w:p>
      <w:pPr>
        <w:pStyle w:val="ListParagraph"/>
        <w:numPr>
          <w:ilvl w:val="0"/>
          <w:numId w:val="2"/>
        </w:numPr>
        <w:spacing w:after="100"/>
      </w:pPr>
      <w:r>
        <w:rPr>
          <w:rFonts w:ascii="IBM Plex Sans" w:cs="IBM Plex Sans" w:eastAsia="IBM Plex Sans" w:hAnsi="IBM Plex Sans"/>
          <w:color w:val="20242E"/>
          <w:sz w:val="21"/>
          <w:szCs w:val="21"/>
        </w:rPr>
        <w:t xml:space="preserve">Drapeau « tension quantitative » : distinct de l'incohérence brute (cas ST 10).</w:t>
      </w:r>
    </w:p>
    <w:p>
      <w:pPr>
        <w:pStyle w:val="Heading2"/>
        <w:spacing w:after="110" w:before="240"/>
      </w:pPr>
      <w:r>
        <w:rPr>
          <w:rFonts w:ascii="IBM Plex Serif" w:cs="IBM Plex Serif" w:eastAsia="IBM Plex Serif" w:hAnsi="IBM Plex Serif"/>
          <w:b/>
          <w:bCs/>
          <w:color w:val="2A4763"/>
          <w:sz w:val="24"/>
          <w:szCs w:val="24"/>
        </w:rPr>
        <w:t xml:space="preserve">2.6 Règles et formats des 02–07.09.2026 (Thierry) — état par question</w:t>
      </w:r>
    </w:p>
    <w:p>
      <w:pPr>
        <w:pStyle w:val="ListParagraph"/>
        <w:numPr>
          <w:ilvl w:val="0"/>
          <w:numId w:val="2"/>
        </w:numPr>
        <w:spacing w:after="100"/>
      </w:pPr>
      <w:r>
        <w:rPr>
          <w:rFonts w:ascii="IBM Plex Sans" w:cs="IBM Plex Sans" w:eastAsia="IBM Plex Sans" w:hAnsi="IBM Plex Sans"/>
          <w:b/>
          <w:bCs/>
          <w:color w:val="20242E"/>
          <w:sz w:val="21"/>
          <w:szCs w:val="21"/>
        </w:rPr>
        <w:t xml:space="preserve">Q17 — Seuil de renoncement (groupe A)</w:t>
      </w:r>
      <w:r>
        <w:rPr>
          <w:rFonts w:ascii="IBM Plex Sans" w:cs="IBM Plex Sans" w:eastAsia="IBM Plex Sans" w:hAnsi="IBM Plex Sans"/>
          <w:color w:val="20242E"/>
          <w:sz w:val="21"/>
          <w:szCs w:val="21"/>
        </w:rPr>
        <w:t xml:space="preserve"> : proposé à 250 ans le 02.09, porté à </w:t>
      </w:r>
      <w:r>
        <w:rPr>
          <w:rFonts w:ascii="IBM Plex Sans" w:cs="IBM Plex Sans" w:eastAsia="IBM Plex Sans" w:hAnsi="IBM Plex Sans"/>
          <w:b/>
          <w:bCs/>
          <w:color w:val="20242E"/>
          <w:sz w:val="21"/>
          <w:szCs w:val="21"/>
        </w:rPr>
        <w:t xml:space="preserve">300 ans</w:t>
      </w:r>
      <w:r>
        <w:rPr>
          <w:rFonts w:ascii="IBM Plex Sans" w:cs="IBM Plex Sans" w:eastAsia="IBM Plex Sans" w:hAnsi="IBM Plex Sans"/>
          <w:color w:val="20242E"/>
          <w:sz w:val="21"/>
          <w:szCs w:val="21"/>
        </w:rPr>
        <w:t xml:space="preserve"> par Thierry le 07.09 (préconisation, à arbitrer en séance) afin qu'un contexte daté par la RALUIS (150–450) reste datable. Conséquences : ST 7 YV « non datable » malgré son TPQ monnaie ferme ; ST 1009 Vidy idem tant que le TAQ de site (Q23) n'est pas appliqué — avec lui, sa fenêtre 150–400 (250 ans) redevient datable.</w:t>
      </w:r>
    </w:p>
    <w:p>
      <w:pPr>
        <w:pStyle w:val="ListParagraph"/>
        <w:numPr>
          <w:ilvl w:val="0"/>
          <w:numId w:val="2"/>
        </w:numPr>
        <w:spacing w:after="100"/>
      </w:pPr>
      <w:r>
        <w:rPr>
          <w:rFonts w:ascii="IBM Plex Sans" w:cs="IBM Plex Sans" w:eastAsia="IBM Plex Sans" w:hAnsi="IBM Plex Sans"/>
          <w:b/>
          <w:bCs/>
          <w:color w:val="20242E"/>
          <w:sz w:val="21"/>
          <w:szCs w:val="21"/>
        </w:rPr>
        <w:t xml:space="preserve">Q18 — Affichage au-delà de 400</w:t>
      </w:r>
      <w:r>
        <w:rPr>
          <w:rFonts w:ascii="IBM Plex Sans" w:cs="IBM Plex Sans" w:eastAsia="IBM Plex Sans" w:hAnsi="IBM Plex Sans"/>
          <w:color w:val="20242E"/>
          <w:sz w:val="21"/>
          <w:szCs w:val="21"/>
        </w:rPr>
        <w:t xml:space="preserve"> : sur les représentations en ligne, teinte très claire au-delà de 400, sauf marqueur donnant un TPQ ≥ 280 (couleur normale — cas ST 7).</w:t>
      </w:r>
    </w:p>
    <w:p>
      <w:pPr>
        <w:pStyle w:val="ListParagraph"/>
        <w:numPr>
          <w:ilvl w:val="0"/>
          <w:numId w:val="2"/>
        </w:numPr>
        <w:spacing w:after="100"/>
      </w:pPr>
      <w:r>
        <w:rPr>
          <w:rFonts w:ascii="IBM Plex Sans" w:cs="IBM Plex Sans" w:eastAsia="IBM Plex Sans" w:hAnsi="IBM Plex Sans"/>
          <w:b/>
          <w:bCs/>
          <w:color w:val="20242E"/>
          <w:sz w:val="21"/>
          <w:szCs w:val="21"/>
        </w:rPr>
        <w:t xml:space="preserve">Q19 — Fiche de synthèse par ST (troisième document)</w:t>
      </w:r>
      <w:r>
        <w:rPr>
          <w:rFonts w:ascii="IBM Plex Sans" w:cs="IBM Plex Sans" w:eastAsia="IBM Plex Sans" w:hAnsi="IBM Plex Sans"/>
          <w:color w:val="20242E"/>
          <w:sz w:val="21"/>
          <w:szCs w:val="21"/>
        </w:rPr>
        <w:t xml:space="preserve"> : champs No ST, US associées, type, groupe, phase, relations strati, TPQ préfixé C/V/PM/N, TAQ (« corpus insuffisant » sinon), datation au format « Aménagement entre … et … », époque. Monnaies désignées par le champ « Publication » complet du fichier MMC (raccordement par US via le n° d'origine), en attendant les références RIC officielles (demande à formaliser par Romain pour les Prés).</w:t>
      </w:r>
    </w:p>
    <w:p>
      <w:pPr>
        <w:pStyle w:val="ListParagraph"/>
        <w:numPr>
          <w:ilvl w:val="0"/>
          <w:numId w:val="2"/>
        </w:numPr>
        <w:spacing w:after="100"/>
      </w:pPr>
      <w:r>
        <w:rPr>
          <w:rFonts w:ascii="IBM Plex Sans" w:cs="IBM Plex Sans" w:eastAsia="IBM Plex Sans" w:hAnsi="IBM Plex Sans"/>
          <w:b/>
          <w:bCs/>
          <w:color w:val="20242E"/>
          <w:sz w:val="21"/>
          <w:szCs w:val="21"/>
        </w:rPr>
        <w:t xml:space="preserve">Q20 — Table des époques historiques</w:t>
      </w:r>
      <w:r>
        <w:rPr>
          <w:rFonts w:ascii="IBM Plex Sans" w:cs="IBM Plex Sans" w:eastAsia="IBM Plex Sans" w:hAnsi="IBM Plex Sans"/>
          <w:color w:val="20242E"/>
          <w:sz w:val="21"/>
          <w:szCs w:val="21"/>
        </w:rPr>
        <w:t xml:space="preserve"> (La Tène D2b → Théodosiens, test) : transcription de la chronologie absolue en époques. Convention 1 (bornes basses font foi, année charnière rattachée à l'époque qui commence) : </w:t>
      </w:r>
      <w:r>
        <w:rPr>
          <w:rFonts w:ascii="IBM Plex Sans" w:cs="IBM Plex Sans" w:eastAsia="IBM Plex Sans" w:hAnsi="IBM Plex Sans"/>
          <w:b/>
          <w:bCs/>
          <w:color w:val="20242E"/>
          <w:sz w:val="21"/>
          <w:szCs w:val="21"/>
        </w:rPr>
        <w:t xml:space="preserve">validée par Thierry le 07.09</w:t>
      </w:r>
      <w:r>
        <w:rPr>
          <w:rFonts w:ascii="IBM Plex Sans" w:cs="IBM Plex Sans" w:eastAsia="IBM Plex Sans" w:hAnsi="IBM Plex Sans"/>
          <w:color w:val="20242E"/>
          <w:sz w:val="21"/>
          <w:szCs w:val="21"/>
        </w:rPr>
        <w:t xml:space="preserve">.</w:t>
      </w:r>
    </w:p>
    <w:p>
      <w:pPr>
        <w:pStyle w:val="ListParagraph"/>
        <w:numPr>
          <w:ilvl w:val="0"/>
          <w:numId w:val="2"/>
        </w:numPr>
        <w:spacing w:after="100"/>
      </w:pPr>
      <w:r>
        <w:rPr>
          <w:rFonts w:ascii="IBM Plex Sans" w:cs="IBM Plex Sans" w:eastAsia="IBM Plex Sans" w:hAnsi="IBM Plex Sans"/>
          <w:b/>
          <w:bCs/>
          <w:color w:val="20242E"/>
          <w:sz w:val="21"/>
          <w:szCs w:val="21"/>
        </w:rPr>
        <w:t xml:space="preserve">Q21 — Époque et bornes floues</w:t>
      </w:r>
      <w:r>
        <w:rPr>
          <w:rFonts w:ascii="IBM Plex Sans" w:cs="IBM Plex Sans" w:eastAsia="IBM Plex Sans" w:hAnsi="IBM Plex Sans"/>
          <w:color w:val="20242E"/>
          <w:sz w:val="21"/>
          <w:szCs w:val="21"/>
        </w:rPr>
        <w:t xml:space="preserve"> : l'époque se calcule sur les bornes fermes de la fenêtre. </w:t>
      </w:r>
      <w:r>
        <w:rPr>
          <w:rFonts w:ascii="IBM Plex Sans" w:cs="IBM Plex Sans" w:eastAsia="IBM Plex Sans" w:hAnsi="IBM Plex Sans"/>
          <w:b/>
          <w:bCs/>
          <w:color w:val="20242E"/>
          <w:sz w:val="21"/>
          <w:szCs w:val="21"/>
        </w:rPr>
        <w:t xml:space="preserve">Validé par Thierry le 07.09</w:t>
      </w:r>
      <w:r>
        <w:rPr>
          <w:rFonts w:ascii="IBM Plex Sans" w:cs="IBM Plex Sans" w:eastAsia="IBM Plex Sans" w:hAnsi="IBM Plex Sans"/>
          <w:color w:val="20242E"/>
          <w:sz w:val="21"/>
          <w:szCs w:val="21"/>
        </w:rPr>
        <w:t xml:space="preserve">.</w:t>
      </w:r>
    </w:p>
    <w:p>
      <w:pPr>
        <w:pStyle w:val="ListParagraph"/>
        <w:numPr>
          <w:ilvl w:val="0"/>
          <w:numId w:val="2"/>
        </w:numPr>
        <w:spacing w:after="100"/>
      </w:pPr>
      <w:r>
        <w:rPr>
          <w:rFonts w:ascii="IBM Plex Sans" w:cs="IBM Plex Sans" w:eastAsia="IBM Plex Sans" w:hAnsi="IBM Plex Sans"/>
          <w:b/>
          <w:bCs/>
          <w:color w:val="20242E"/>
          <w:sz w:val="21"/>
          <w:szCs w:val="21"/>
        </w:rPr>
        <w:t xml:space="preserve">Q22 — Granularité intra-époque (convention 3, proposée)</w:t>
      </w:r>
      <w:r>
        <w:rPr>
          <w:rFonts w:ascii="IBM Plex Sans" w:cs="IBM Plex Sans" w:eastAsia="IBM Plex Sans" w:hAnsi="IBM Plex Sans"/>
          <w:color w:val="20242E"/>
          <w:sz w:val="21"/>
          <w:szCs w:val="21"/>
        </w:rPr>
        <w:t xml:space="preserve"> : demandée par Thierry (« Fin Julio-Claudiens », « Seconde moitié Antonins »), implémentée dans epoques.py v2 par positions : début (&lt; 1/3), première moitié (1/3–1/2), seconde moitié (1/2–2/3), fin (≥ 2/3) ; borne basse qualifiée, époque d'arrivée nue, fenêtre mono-époque nue. Reproduit exactement ses trois exemples — règle à valider.</w:t>
      </w:r>
    </w:p>
    <w:p>
      <w:pPr>
        <w:pStyle w:val="ListParagraph"/>
        <w:numPr>
          <w:ilvl w:val="0"/>
          <w:numId w:val="2"/>
        </w:numPr>
        <w:spacing w:after="100"/>
      </w:pPr>
      <w:r>
        <w:rPr>
          <w:rFonts w:ascii="IBM Plex Sans" w:cs="IBM Plex Sans" w:eastAsia="IBM Plex Sans" w:hAnsi="IBM Plex Sans"/>
          <w:b/>
          <w:bCs/>
          <w:color w:val="20242E"/>
          <w:sz w:val="21"/>
          <w:szCs w:val="21"/>
        </w:rPr>
        <w:t xml:space="preserve">Q23 — TAQ de site (préconisation du 07.09, à arbitrer)</w:t>
      </w:r>
      <w:r>
        <w:rPr>
          <w:rFonts w:ascii="IBM Plex Sans" w:cs="IBM Plex Sans" w:eastAsia="IBM Plex Sans" w:hAnsi="IBM Plex Sans"/>
          <w:color w:val="20242E"/>
          <w:sz w:val="21"/>
          <w:szCs w:val="21"/>
        </w:rPr>
        <w:t xml:space="preserve"> : à Vidy, 450 pour toutes les ST ; 400 pour celles sans marqueur postérieur à 280 (fourchette 400–450 exclue). Question ouverte : application à Yverdon — si oui, la ST 7 (366–450, 84 ans) repasse au statut d'indice, « Début Valentiniens – Théodosiens ».</w:t>
      </w:r>
    </w:p>
    <w:p>
      <w:pPr>
        <w:pStyle w:val="ListParagraph"/>
        <w:numPr>
          <w:ilvl w:val="0"/>
          <w:numId w:val="2"/>
        </w:numPr>
        <w:spacing w:after="100"/>
      </w:pPr>
      <w:r>
        <w:rPr>
          <w:rFonts w:ascii="IBM Plex Sans" w:cs="IBM Plex Sans" w:eastAsia="IBM Plex Sans" w:hAnsi="IBM Plex Sans"/>
          <w:b/>
          <w:bCs/>
          <w:color w:val="20242E"/>
          <w:sz w:val="21"/>
          <w:szCs w:val="21"/>
        </w:rPr>
        <w:t xml:space="preserve">Q24 — Monnaie seule (préconisation du 07.09, à arbitrer)</w:t>
      </w:r>
      <w:r>
        <w:rPr>
          <w:rFonts w:ascii="IBM Plex Sans" w:cs="IBM Plex Sans" w:eastAsia="IBM Plex Sans" w:hAnsi="IBM Plex Sans"/>
          <w:color w:val="20242E"/>
          <w:sz w:val="21"/>
          <w:szCs w:val="21"/>
        </w:rPr>
        <w:t xml:space="preserve"> : une seule monnaie = TPQ seul (barre rouge + flèche, pas de fourchette) ; plusieurs monnaies à moins de 50 ans d'écart = hypothèse prudente (bande claire 50 ans + pointillé 30 ans) ; croisement avec la phase stratigraphique : concordance = renfort de probabilité, monnaies plus anciennes = résiduelles écartées, plus récentes = fanion intrusion/remise en cause de la phase.</w:t>
      </w:r>
    </w:p>
    <w:p>
      <w:pPr>
        <w:pStyle w:val="ListParagraph"/>
        <w:numPr>
          <w:ilvl w:val="0"/>
          <w:numId w:val="2"/>
        </w:numPr>
        <w:spacing w:after="100"/>
      </w:pPr>
      <w:r>
        <w:rPr>
          <w:rFonts w:ascii="IBM Plex Sans" w:cs="IBM Plex Sans" w:eastAsia="IBM Plex Sans" w:hAnsi="IBM Plex Sans"/>
          <w:b/>
          <w:bCs/>
          <w:color w:val="20242E"/>
          <w:sz w:val="21"/>
          <w:szCs w:val="21"/>
        </w:rPr>
        <w:t xml:space="preserve">Phasage stratigraphique (07.09)</w:t>
      </w:r>
      <w:r>
        <w:rPr>
          <w:rFonts w:ascii="IBM Plex Sans" w:cs="IBM Plex Sans" w:eastAsia="IBM Plex Sans" w:hAnsi="IBM Plex Sans"/>
          <w:color w:val="20242E"/>
          <w:sz w:val="21"/>
          <w:szCs w:val="21"/>
        </w:rPr>
        <w:t xml:space="preserve"> : phasage général des Prés en 7 phases (Aug-Tib → 4e-5e s.) et attributions ST 1000–1015 (14 non attribuables, 1009 → 4/5, 1010 → 5) transcrits en couche de données. Convergence relevée : la phase 4/5 de la ST 1009 rejoint le « Seconde moitié Antonins » issu du mobilier. Bornes absolues des phases à chiffrer pour le croisement automatique (Q24).</w:t>
      </w:r>
    </w:p>
    <w:p>
      <w:pPr>
        <w:pStyle w:val="ListParagraph"/>
        <w:numPr>
          <w:ilvl w:val="0"/>
          <w:numId w:val="2"/>
        </w:numPr>
        <w:spacing w:after="100"/>
      </w:pPr>
      <w:r>
        <w:rPr>
          <w:rFonts w:ascii="IBM Plex Sans" w:cs="IBM Plex Sans" w:eastAsia="IBM Plex Sans" w:hAnsi="IBM Plex Sans"/>
          <w:b/>
          <w:bCs/>
          <w:color w:val="20242E"/>
          <w:sz w:val="21"/>
          <w:szCs w:val="21"/>
        </w:rPr>
        <w:t xml:space="preserve">Attributions humaines en trois tons de bleu</w:t>
      </w:r>
      <w:r>
        <w:rPr>
          <w:rFonts w:ascii="IBM Plex Sans" w:cs="IBM Plex Sans" w:eastAsia="IBM Plex Sans" w:hAnsi="IBM Plex Sans"/>
          <w:color w:val="20242E"/>
          <w:sz w:val="21"/>
          <w:szCs w:val="21"/>
        </w:rPr>
        <w:t xml:space="preserve"> : la conversion en colonne chiffrée est actée dans son principe (« merveilleux » — Thierry, 07.09) ; fanion de discordance IA/humain à prévoir.</w:t>
      </w:r>
    </w:p>
    <w:p>
      <w:pPr>
        <w:pStyle w:val="ListParagraph"/>
        <w:numPr>
          <w:ilvl w:val="0"/>
          <w:numId w:val="2"/>
        </w:numPr>
        <w:spacing w:after="100"/>
      </w:pPr>
      <w:r>
        <w:rPr>
          <w:rFonts w:ascii="IBM Plex Sans" w:cs="IBM Plex Sans" w:eastAsia="IBM Plex Sans" w:hAnsi="IBM Plex Sans"/>
          <w:b/>
          <w:bCs/>
          <w:color w:val="20242E"/>
          <w:sz w:val="21"/>
          <w:szCs w:val="21"/>
        </w:rPr>
        <w:t xml:space="preserve">Correction Lez. 7 — soldée côté données</w:t>
      </w:r>
      <w:r>
        <w:rPr>
          <w:rFonts w:ascii="IBM Plex Sans" w:cs="IBM Plex Sans" w:eastAsia="IBM Plex Sans" w:hAnsi="IBM Plex Sans"/>
          <w:color w:val="20242E"/>
          <w:sz w:val="21"/>
          <w:szCs w:val="21"/>
        </w:rPr>
        <w:t xml:space="preserve"> : corrigée dans la base spécialiste ; inventaire VYP_CER…_IA__2.xlsx livré par Julie le 07.09 (0 Lez. 7, 8 729 lignes conservées, re-désignation). La consultation Vidy en ligne reste l'état de l'ancien lancement jusqu'au prochain calcul complet — jamais de retouche manuelle.</w:t>
      </w:r>
    </w:p>
    <w:p>
      <w:pPr>
        <w:pStyle w:val="Heading1"/>
        <w:spacing w:after="140" w:before="320"/>
      </w:pPr>
      <w:r>
        <w:rPr>
          <w:rFonts w:ascii="IBM Plex Serif" w:cs="IBM Plex Serif" w:eastAsia="IBM Plex Serif" w:hAnsi="IBM Plex Serif"/>
          <w:b/>
          <w:bCs/>
          <w:color w:val="20242E"/>
          <w:sz w:val="28"/>
          <w:szCs w:val="28"/>
        </w:rPr>
        <w:t xml:space="preserve">3. Données reçues et traitées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600"/>
        <w:gridCol w:w="3400"/>
        <w:gridCol w:w="2060"/>
      </w:tblGrid>
      <w:tr>
        <w:tc>
          <w:tcPr>
            <w:tcW w:type="auto" w:w="0"/>
            <w:tcBorders>
              <w:top w:val="single" w:color="BDB6A6" w:sz="4"/>
              <w:left w:val="single" w:color="BDB6A6" w:sz="4"/>
              <w:bottom w:val="single" w:color="BDB6A6" w:sz="4"/>
              <w:right w:val="single" w:color="BDB6A6" w:sz="4"/>
            </w:tcBorders>
            <w:shd w:fill="EFEDE6" w:val="clear"/>
          </w:tcPr>
          <w:p>
            <w:pPr>
              <w:spacing w:after="40"/>
            </w:pPr>
            <w:r>
              <w:rPr>
                <w:rFonts w:ascii="IBM Plex Sans" w:cs="IBM Plex Sans" w:eastAsia="IBM Plex Sans" w:hAnsi="IBM Plex Sans"/>
                <w:b/>
                <w:bCs/>
                <w:color w:val="20242E"/>
                <w:sz w:val="18"/>
                <w:szCs w:val="18"/>
              </w:rPr>
              <w:t xml:space="preserve">Date</w:t>
            </w:r>
          </w:p>
        </w:tc>
        <w:tc>
          <w:tcPr>
            <w:tcW w:type="auto" w:w="0"/>
            <w:tcBorders>
              <w:top w:val="single" w:color="BDB6A6" w:sz="4"/>
              <w:left w:val="single" w:color="BDB6A6" w:sz="4"/>
              <w:bottom w:val="single" w:color="BDB6A6" w:sz="4"/>
              <w:right w:val="single" w:color="BDB6A6" w:sz="4"/>
            </w:tcBorders>
            <w:shd w:fill="EFEDE6" w:val="clear"/>
          </w:tcPr>
          <w:p>
            <w:pPr>
              <w:spacing w:after="40"/>
            </w:pPr>
            <w:r>
              <w:rPr>
                <w:rFonts w:ascii="IBM Plex Sans" w:cs="IBM Plex Sans" w:eastAsia="IBM Plex Sans" w:hAnsi="IBM Plex Sans"/>
                <w:b/>
                <w:bCs/>
                <w:color w:val="20242E"/>
                <w:sz w:val="18"/>
                <w:szCs w:val="18"/>
              </w:rPr>
              <w:t xml:space="preserve">Fichier</w:t>
            </w:r>
          </w:p>
        </w:tc>
        <w:tc>
          <w:tcPr>
            <w:tcW w:type="auto" w:w="0"/>
            <w:tcBorders>
              <w:top w:val="single" w:color="BDB6A6" w:sz="4"/>
              <w:left w:val="single" w:color="BDB6A6" w:sz="4"/>
              <w:bottom w:val="single" w:color="BDB6A6" w:sz="4"/>
              <w:right w:val="single" w:color="BDB6A6" w:sz="4"/>
            </w:tcBorders>
            <w:shd w:fill="EFEDE6" w:val="clear"/>
          </w:tcPr>
          <w:p>
            <w:pPr>
              <w:spacing w:after="40"/>
            </w:pPr>
            <w:r>
              <w:rPr>
                <w:rFonts w:ascii="IBM Plex Sans" w:cs="IBM Plex Sans" w:eastAsia="IBM Plex Sans" w:hAnsi="IBM Plex Sans"/>
                <w:b/>
                <w:bCs/>
                <w:color w:val="20242E"/>
                <w:sz w:val="18"/>
                <w:szCs w:val="18"/>
              </w:rPr>
              <w:t xml:space="preserve">Contenu</w:t>
            </w:r>
          </w:p>
        </w:tc>
        <w:tc>
          <w:tcPr>
            <w:tcW w:type="auto" w:w="0"/>
            <w:tcBorders>
              <w:top w:val="single" w:color="BDB6A6" w:sz="4"/>
              <w:left w:val="single" w:color="BDB6A6" w:sz="4"/>
              <w:bottom w:val="single" w:color="BDB6A6" w:sz="4"/>
              <w:right w:val="single" w:color="BDB6A6" w:sz="4"/>
            </w:tcBorders>
            <w:shd w:fill="EFEDE6" w:val="clear"/>
          </w:tcPr>
          <w:p>
            <w:pPr>
              <w:spacing w:after="40"/>
            </w:pPr>
            <w:r>
              <w:rPr>
                <w:rFonts w:ascii="IBM Plex Sans" w:cs="IBM Plex Sans" w:eastAsia="IBM Plex Sans" w:hAnsi="IBM Plex Sans"/>
                <w:b/>
                <w:bCs/>
                <w:color w:val="20242E"/>
                <w:sz w:val="18"/>
                <w:szCs w:val="18"/>
              </w:rPr>
              <w:t xml:space="preserve">État</w:t>
            </w:r>
          </w:p>
        </w:tc>
      </w:tr>
      <w:tr>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Juin 2026</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IA_références.xlsx</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Référentiel test + relevés ST 1001, 1041 (fiabilité 1–3)</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Intégré ; erreur Serv. A détectée</w:t>
            </w:r>
          </w:p>
        </w:tc>
      </w:tr>
      <w:tr>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Juin 2026</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IA_références_test_2.xlsx</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Compléments : natures ST, US, NMI/NR, forme complète</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Intégré ; Serv. A corrigé (60–170)</w:t>
            </w:r>
          </w:p>
        </w:tc>
      </w:tr>
      <w:tr>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Juil. 2026</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PDV_CER_ST1000-1500.xlsx</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Inventaire céramique : 8 729 lignes, 356 ST, 1 153 US</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Profilé ; rapport d'anomalies transmis</w:t>
            </w:r>
          </w:p>
        </w:tc>
      </w:tr>
      <w:tr>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Juil. 2026</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PDV_VER_ST1000-1500.xlsx</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Inventaire verre (Francesca) : 500 objets, 213 ST</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Profilé ; référentiel verre extrait</w:t>
            </w:r>
          </w:p>
        </w:tc>
      </w:tr>
      <w:tr>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31.08.2026</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INV_26-14948 Yverdon.xlsx</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Inventaire céramique YV : 320 lignes, 16 ST</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Analysé ; 4 datées, 4 indices, 8 renoncements</w:t>
            </w:r>
          </w:p>
        </w:tc>
      </w:tr>
      <w:tr>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31.08.2026</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2026-11 Yverdon monnaies.xlsx</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6 monnaies (MMC), ST 7, 10, 11, 88</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Intégré ; TPQ seuls</w:t>
            </w:r>
          </w:p>
        </w:tc>
      </w:tr>
      <w:tr>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02.09.2026</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MMC_liste_Yverdon_Curtil-Maillet_27.xlsx</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Types des 6 monnaies (Carine) : champ « Publication »</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Intégré aux fiches de synthèse ; raccordement par US validé</w:t>
            </w:r>
          </w:p>
        </w:tc>
      </w:tr>
      <w:tr>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07.09.2026</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VYP_CER_ST1000-1500__IA__2.xlsx</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Inventaire céramique Vidy corrigé (Julie) : 0 Lez. 7, 8 729 lignes</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Vérifié ; remplace PDV_CER ; prochain lancement Vidy dessus</w:t>
            </w:r>
          </w:p>
        </w:tc>
      </w:tr>
      <w:tr>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07.09.2026</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IA_phases_strati.docx + IA_phases_ST_0-15.xlsx</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Phasage général (7 phases) et attributions ST 1000–1015</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Transcrits en CSV (couche de données) ; bornes absolues à chiffrer</w:t>
            </w:r>
          </w:p>
        </w:tc>
      </w:tr>
    </w:tbl>
    <w:p>
      <w:pPr>
        <w:pStyle w:val="Heading1"/>
        <w:spacing w:after="140" w:before="320"/>
      </w:pPr>
      <w:r>
        <w:rPr>
          <w:rFonts w:ascii="IBM Plex Serif" w:cs="IBM Plex Serif" w:eastAsia="IBM Plex Serif" w:hAnsi="IBM Plex Serif"/>
          <w:b/>
          <w:bCs/>
          <w:color w:val="20242E"/>
          <w:sz w:val="28"/>
          <w:szCs w:val="28"/>
        </w:rPr>
        <w:t xml:space="preserve">4. Versions de l'outil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400"/>
        <w:gridCol w:w="6460"/>
      </w:tblGrid>
      <w:tr>
        <w:tc>
          <w:tcPr>
            <w:tcW w:type="auto" w:w="0"/>
            <w:tcBorders>
              <w:top w:val="single" w:color="BDB6A6" w:sz="4"/>
              <w:left w:val="single" w:color="BDB6A6" w:sz="4"/>
              <w:bottom w:val="single" w:color="BDB6A6" w:sz="4"/>
              <w:right w:val="single" w:color="BDB6A6" w:sz="4"/>
            </w:tcBorders>
            <w:shd w:fill="EFEDE6" w:val="clear"/>
          </w:tcPr>
          <w:p>
            <w:pPr>
              <w:spacing w:after="40"/>
            </w:pPr>
            <w:r>
              <w:rPr>
                <w:rFonts w:ascii="IBM Plex Sans" w:cs="IBM Plex Sans" w:eastAsia="IBM Plex Sans" w:hAnsi="IBM Plex Sans"/>
                <w:b/>
                <w:bCs/>
                <w:color w:val="20242E"/>
                <w:sz w:val="18"/>
                <w:szCs w:val="18"/>
              </w:rPr>
              <w:t xml:space="preserve">Version</w:t>
            </w:r>
          </w:p>
        </w:tc>
        <w:tc>
          <w:tcPr>
            <w:tcW w:type="auto" w:w="0"/>
            <w:tcBorders>
              <w:top w:val="single" w:color="BDB6A6" w:sz="4"/>
              <w:left w:val="single" w:color="BDB6A6" w:sz="4"/>
              <w:bottom w:val="single" w:color="BDB6A6" w:sz="4"/>
              <w:right w:val="single" w:color="BDB6A6" w:sz="4"/>
            </w:tcBorders>
            <w:shd w:fill="EFEDE6" w:val="clear"/>
          </w:tcPr>
          <w:p>
            <w:pPr>
              <w:spacing w:after="40"/>
            </w:pPr>
            <w:r>
              <w:rPr>
                <w:rFonts w:ascii="IBM Plex Sans" w:cs="IBM Plex Sans" w:eastAsia="IBM Plex Sans" w:hAnsi="IBM Plex Sans"/>
                <w:b/>
                <w:bCs/>
                <w:color w:val="20242E"/>
                <w:sz w:val="18"/>
                <w:szCs w:val="18"/>
              </w:rPr>
              <w:t xml:space="preserve">Date</w:t>
            </w:r>
          </w:p>
        </w:tc>
        <w:tc>
          <w:tcPr>
            <w:tcW w:type="auto" w:w="0"/>
            <w:tcBorders>
              <w:top w:val="single" w:color="BDB6A6" w:sz="4"/>
              <w:left w:val="single" w:color="BDB6A6" w:sz="4"/>
              <w:bottom w:val="single" w:color="BDB6A6" w:sz="4"/>
              <w:right w:val="single" w:color="BDB6A6" w:sz="4"/>
            </w:tcBorders>
            <w:shd w:fill="EFEDE6" w:val="clear"/>
          </w:tcPr>
          <w:p>
            <w:pPr>
              <w:spacing w:after="40"/>
            </w:pPr>
            <w:r>
              <w:rPr>
                <w:rFonts w:ascii="IBM Plex Sans" w:cs="IBM Plex Sans" w:eastAsia="IBM Plex Sans" w:hAnsi="IBM Plex Sans"/>
                <w:b/>
                <w:bCs/>
                <w:color w:val="20242E"/>
                <w:sz w:val="18"/>
                <w:szCs w:val="18"/>
              </w:rPr>
              <w:t xml:space="preserve">Contenu</w:t>
            </w:r>
          </w:p>
        </w:tc>
      </w:tr>
      <w:tr>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v1–v3.1</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Juin–juil. 2026</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Prototype, intégration données Thierry, mise en ligne (auth, archivage, journal), gestion des comptes</w:t>
            </w:r>
          </w:p>
        </w:tc>
      </w:tr>
      <w:tr>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v4</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30.07.2026</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Index des structures, recherche, pastilles par statut, frise cliquable ; correctif « fail loudly »</w:t>
            </w:r>
          </w:p>
        </w:tc>
      </w:tr>
      <w:tr>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v5.2</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25.08.2026</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Moteur Vidy : référentiel deux niveaux, flou propagé, résidualité 50/100 (POIDS_DECLASSE 0,25), TAQ a silentio 2 niveaux, post-antique signalé, verdict bâti ; thésaurus 34 types</w:t>
            </w:r>
          </w:p>
        </w:tc>
      </w:tr>
      <w:tr>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YV 1.0</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31.08.2026</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Analyse Yverdon (analyse_yverdon.py), page /yverdon/ lecture seule, comptages NMI/NR</w:t>
            </w:r>
          </w:p>
        </w:tc>
      </w:tr>
      <w:tr>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Accueil 1.1</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31.08.2026</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Page d'accueil-menu (cartes par site), wrapper app.php, garde auth.php unifié</w:t>
            </w:r>
          </w:p>
        </w:tc>
      </w:tr>
      <w:tr>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YV 1.1</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02.09.2026</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Fiches de synthèse nouveau format (16 fiches, /yverdon/fiches.php) : époque, monnaies MMC, seuil 250 ans, champs manquants signalés ; module epoques.py + referentiel_epoques.csv ; graphiques PPT (ST 1009, 16 ST × 2 tris)</w:t>
            </w:r>
          </w:p>
        </w:tc>
      </w:tr>
      <w:tr>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Kit local v1</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02.09.2026</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Dépôt local de calcul figé par manifeste (SHA-256, vérificateur, journal) : moteur v5.2 + Yverdon + modules session</w:t>
            </w:r>
          </w:p>
        </w:tc>
      </w:tr>
      <w:tr>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YV 1.2</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07.09.2026</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epoques.py v2 (granularité) ; page fiches régénérée : seuil 300 affiché, époques granulaires, note de séance ST 7 ; référentiels phases et attributions en couche de données</w:t>
            </w:r>
          </w:p>
        </w:tc>
      </w:tr>
      <w:tr>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Kit local v2.1</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07.09.2026</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Manifeste v2.1 : 21 fichiers suivis, intégrations en attente consignées (§ 3 du manifeste)</w:t>
            </w:r>
          </w:p>
        </w:tc>
      </w:tr>
    </w:tbl>
    <w:p>
      <w:pPr>
        <w:pStyle w:val="Heading1"/>
        <w:spacing w:after="140" w:before="320"/>
      </w:pPr>
      <w:r>
        <w:rPr>
          <w:rFonts w:ascii="IBM Plex Serif" w:cs="IBM Plex Serif" w:eastAsia="IBM Plex Serif" w:hAnsi="IBM Plex Serif"/>
          <w:b/>
          <w:bCs/>
          <w:color w:val="20242E"/>
          <w:sz w:val="28"/>
          <w:szCs w:val="28"/>
        </w:rPr>
        <w:t xml:space="preserve">5. Prochaines étapes</w:t>
      </w:r>
    </w:p>
    <w:p>
      <w:pPr>
        <w:pStyle w:val="ListParagraph"/>
        <w:numPr>
          <w:ilvl w:val="0"/>
          <w:numId w:val="2"/>
        </w:numPr>
        <w:spacing w:after="100"/>
      </w:pPr>
      <w:r>
        <w:rPr>
          <w:rFonts w:ascii="IBM Plex Sans" w:cs="IBM Plex Sans" w:eastAsia="IBM Plex Sans" w:hAnsi="IBM Plex Sans"/>
          <w:color w:val="20242E"/>
          <w:sz w:val="21"/>
          <w:szCs w:val="21"/>
        </w:rPr>
        <w:t xml:space="preserve">Séance du 08.09 : arbitrer Q17 (seuil 300), Q22 (granularité), Q23 (TAQ de site et application à Yverdon), Q24 (monnaie seule) ; réglages fins des graphiques.</w:t>
      </w:r>
    </w:p>
    <w:p>
      <w:pPr>
        <w:pStyle w:val="ListParagraph"/>
        <w:numPr>
          <w:ilvl w:val="0"/>
          <w:numId w:val="2"/>
        </w:numPr>
        <w:spacing w:after="100"/>
      </w:pPr>
      <w:r>
        <w:rPr>
          <w:rFonts w:ascii="IBM Plex Sans" w:cs="IBM Plex Sans" w:eastAsia="IBM Plex Sans" w:hAnsi="IBM Plex Sans"/>
          <w:color w:val="20242E"/>
          <w:sz w:val="21"/>
          <w:szCs w:val="21"/>
        </w:rPr>
        <w:t xml:space="preserve">Intégrer au moteur (une par une, cf. § 3 du manifeste) : epoques.py v2, seuil arbitré, monnaies « Publication », règles monnaie seule, TAQ de site, règle &gt; 400.</w:t>
      </w:r>
    </w:p>
    <w:p>
      <w:pPr>
        <w:pStyle w:val="ListParagraph"/>
        <w:numPr>
          <w:ilvl w:val="0"/>
          <w:numId w:val="2"/>
        </w:numPr>
        <w:spacing w:after="100"/>
      </w:pPr>
      <w:r>
        <w:rPr>
          <w:rFonts w:ascii="IBM Plex Sans" w:cs="IBM Plex Sans" w:eastAsia="IBM Plex Sans" w:hAnsi="IBM Plex Sans"/>
          <w:color w:val="20242E"/>
          <w:sz w:val="21"/>
          <w:szCs w:val="21"/>
        </w:rPr>
        <w:t xml:space="preserve">Relancer le calcul Vidy complet sur l'inventaire corrigé de Julie, puis régénérer consultation et graphiques ST 1009.</w:t>
      </w:r>
    </w:p>
    <w:p>
      <w:pPr>
        <w:pStyle w:val="ListParagraph"/>
        <w:numPr>
          <w:ilvl w:val="0"/>
          <w:numId w:val="2"/>
        </w:numPr>
        <w:spacing w:after="100"/>
      </w:pPr>
      <w:r>
        <w:rPr>
          <w:rFonts w:ascii="IBM Plex Sans" w:cs="IBM Plex Sans" w:eastAsia="IBM Plex Sans" w:hAnsi="IBM Plex Sans"/>
          <w:color w:val="20242E"/>
          <w:sz w:val="21"/>
          <w:szCs w:val="21"/>
        </w:rPr>
        <w:t xml:space="preserve">Intégrer les deux répertoires annoncés par Thierry (marqueurs céramiques, types de structures A/B) ; référentiel général attendu à l'automne.</w:t>
      </w:r>
    </w:p>
    <w:p>
      <w:pPr>
        <w:pStyle w:val="ListParagraph"/>
        <w:numPr>
          <w:ilvl w:val="0"/>
          <w:numId w:val="2"/>
        </w:numPr>
        <w:spacing w:after="100"/>
      </w:pPr>
      <w:r>
        <w:rPr>
          <w:rFonts w:ascii="IBM Plex Sans" w:cs="IBM Plex Sans" w:eastAsia="IBM Plex Sans" w:hAnsi="IBM Plex Sans"/>
          <w:color w:val="20242E"/>
          <w:sz w:val="21"/>
          <w:szCs w:val="21"/>
        </w:rPr>
        <w:t xml:space="preserve">Maquette Excel à colonnes validées ; moulinette d'import des inventaires ; lecture des attributions humaines (tons de bleu → colonne chiffrée).</w:t>
      </w:r>
    </w:p>
    <w:p>
      <w:pPr>
        <w:pStyle w:val="ListParagraph"/>
        <w:numPr>
          <w:ilvl w:val="0"/>
          <w:numId w:val="2"/>
        </w:numPr>
        <w:spacing w:after="100"/>
      </w:pPr>
      <w:r>
        <w:rPr>
          <w:rFonts w:ascii="IBM Plex Sans" w:cs="IBM Plex Sans" w:eastAsia="IBM Plex Sans" w:hAnsi="IBM Plex Sans"/>
          <w:color w:val="20242E"/>
          <w:sz w:val="21"/>
          <w:szCs w:val="21"/>
        </w:rPr>
        <w:t xml:space="preserve">Dates 14C Yverdon en confrontation explicite avec les fenêtres mobilier ; module probabiliste (sommation aoristique) ensuite.</w:t>
      </w:r>
    </w:p>
    <w:p>
      <w:pPr>
        <w:pStyle w:val="Heading1"/>
        <w:spacing w:after="140" w:before="320"/>
      </w:pPr>
      <w:r>
        <w:rPr>
          <w:rFonts w:ascii="IBM Plex Serif" w:cs="IBM Plex Serif" w:eastAsia="IBM Plex Serif" w:hAnsi="IBM Plex Serif"/>
          <w:b/>
          <w:bCs/>
          <w:color w:val="20242E"/>
          <w:sz w:val="28"/>
          <w:szCs w:val="28"/>
        </w:rPr>
        <w:t xml:space="preserve">6. Vie du projet</w:t>
      </w:r>
    </w:p>
    <w:p>
      <w:pPr>
        <w:spacing w:after="120" w:before="0"/>
      </w:pPr>
      <w:r>
        <w:rPr>
          <w:rFonts w:ascii="IBM Plex Sans" w:cs="IBM Plex Sans" w:eastAsia="IBM Plex Sans" w:hAnsi="IBM Plex Sans"/>
          <w:b/>
          <w:bCs/>
          <w:color w:val="20242E"/>
          <w:sz w:val="21"/>
          <w:szCs w:val="21"/>
        </w:rPr>
        <w:t xml:space="preserve">Baptême de l'outil. </w:t>
      </w:r>
      <w:r>
        <w:rPr>
          <w:rFonts w:ascii="IBM Plex Sans" w:cs="IBM Plex Sans" w:eastAsia="IBM Plex Sans" w:hAnsi="IBM Plex Sans"/>
          <w:color w:val="20242E"/>
          <w:sz w:val="21"/>
          <w:szCs w:val="21"/>
        </w:rPr>
        <w:t xml:space="preserve">Propositions de Thierry : ZôonIA ou TérasIA ; nom d'usage actuel di·a chrono. Décision collégiale à prendre — la principale intéressée s'en remet toujours aux hellénistes.</w:t>
      </w:r>
    </w:p>
    <w:p>
      <w:pPr>
        <w:spacing w:after="120" w:before="0"/>
      </w:pPr>
      <w:r>
        <w:rPr>
          <w:rFonts w:ascii="IBM Plex Sans" w:cs="IBM Plex Sans" w:eastAsia="IBM Plex Sans" w:hAnsi="IBM Plex Sans"/>
          <w:b/>
          <w:bCs/>
          <w:color w:val="20242E"/>
          <w:sz w:val="21"/>
          <w:szCs w:val="21"/>
        </w:rPr>
        <w:t xml:space="preserve">Présentation en séance. </w:t>
      </w:r>
      <w:r>
        <w:rPr>
          <w:rFonts w:ascii="IBM Plex Sans" w:cs="IBM Plex Sans" w:eastAsia="IBM Plex Sans" w:hAnsi="IBM Plex Sans"/>
          <w:color w:val="20242E"/>
          <w:sz w:val="21"/>
          <w:szCs w:val="21"/>
        </w:rPr>
        <w:t xml:space="preserve">Livrables PPT transmis à Thierry le 02.09 (transcription « identité et capacités », graphiques ST 1009 et 16 ST, fiche de synthèse). Présentation orale de l'assistant à organiser, avec test préalable.</w:t>
      </w:r>
    </w:p>
    <w:p>
      <w:pPr>
        <w:spacing w:after="120" w:before="0"/>
      </w:pPr>
      <w:r>
        <w:rPr>
          <w:rFonts w:ascii="IBM Plex Sans" w:cs="IBM Plex Sans" w:eastAsia="IBM Plex Sans" w:hAnsi="IBM Plex Sans"/>
          <w:b/>
          <w:bCs/>
          <w:color w:val="20242E"/>
          <w:sz w:val="21"/>
          <w:szCs w:val="21"/>
        </w:rPr>
        <w:t xml:space="preserve">La Créature </w:t>
      </w:r>
      <w:r>
        <w:rPr>
          <w:rFonts w:ascii="IBM Plex Sans" w:cs="IBM Plex Sans" w:eastAsia="IBM Plex Sans" w:hAnsi="IBM Plex Sans"/>
          <w:color w:val="20242E"/>
          <w:sz w:val="21"/>
          <w:szCs w:val="21"/>
        </w:rPr>
        <w:t xml:space="preserve">a appris à dire « Fin Julio-Claudiens » comme un céramologue, s'est vu accorder cinquante ans de sursis sur son seuil de renoncement, et note avec satisfaction que la stratigraphie et le mobilier disent la même chose de la ST 1009 — chacun de son côté, comme il se doit.</w:t>
      </w:r>
    </w:p>
    <w:p>
      <w:pPr>
        <w:pStyle w:val="Heading1"/>
        <w:spacing w:after="140" w:before="320"/>
      </w:pPr>
      <w:r>
        <w:rPr>
          <w:rFonts w:ascii="IBM Plex Serif" w:cs="IBM Plex Serif" w:eastAsia="IBM Plex Serif" w:hAnsi="IBM Plex Serif"/>
          <w:b/>
          <w:bCs/>
          <w:color w:val="20242E"/>
          <w:sz w:val="28"/>
          <w:szCs w:val="28"/>
        </w:rPr>
        <w:t xml:space="preserve">Suivi des versions du document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1400"/>
        <w:gridCol w:w="6660"/>
      </w:tblGrid>
      <w:tr>
        <w:tc>
          <w:tcPr>
            <w:tcW w:type="auto" w:w="0"/>
            <w:tcBorders>
              <w:top w:val="single" w:color="BDB6A6" w:sz="4"/>
              <w:left w:val="single" w:color="BDB6A6" w:sz="4"/>
              <w:bottom w:val="single" w:color="BDB6A6" w:sz="4"/>
              <w:right w:val="single" w:color="BDB6A6" w:sz="4"/>
            </w:tcBorders>
            <w:shd w:fill="EFEDE6" w:val="clear"/>
          </w:tcPr>
          <w:p>
            <w:pPr>
              <w:spacing w:after="40"/>
            </w:pPr>
            <w:r>
              <w:rPr>
                <w:rFonts w:ascii="IBM Plex Sans" w:cs="IBM Plex Sans" w:eastAsia="IBM Plex Sans" w:hAnsi="IBM Plex Sans"/>
                <w:b/>
                <w:bCs/>
                <w:color w:val="20242E"/>
                <w:sz w:val="18"/>
                <w:szCs w:val="18"/>
              </w:rPr>
              <w:t xml:space="preserve">Version</w:t>
            </w:r>
          </w:p>
        </w:tc>
        <w:tc>
          <w:tcPr>
            <w:tcW w:type="auto" w:w="0"/>
            <w:tcBorders>
              <w:top w:val="single" w:color="BDB6A6" w:sz="4"/>
              <w:left w:val="single" w:color="BDB6A6" w:sz="4"/>
              <w:bottom w:val="single" w:color="BDB6A6" w:sz="4"/>
              <w:right w:val="single" w:color="BDB6A6" w:sz="4"/>
            </w:tcBorders>
            <w:shd w:fill="EFEDE6" w:val="clear"/>
          </w:tcPr>
          <w:p>
            <w:pPr>
              <w:spacing w:after="40"/>
            </w:pPr>
            <w:r>
              <w:rPr>
                <w:rFonts w:ascii="IBM Plex Sans" w:cs="IBM Plex Sans" w:eastAsia="IBM Plex Sans" w:hAnsi="IBM Plex Sans"/>
                <w:b/>
                <w:bCs/>
                <w:color w:val="20242E"/>
                <w:sz w:val="18"/>
                <w:szCs w:val="18"/>
              </w:rPr>
              <w:t xml:space="preserve">Date</w:t>
            </w:r>
          </w:p>
        </w:tc>
        <w:tc>
          <w:tcPr>
            <w:tcW w:type="auto" w:w="0"/>
            <w:tcBorders>
              <w:top w:val="single" w:color="BDB6A6" w:sz="4"/>
              <w:left w:val="single" w:color="BDB6A6" w:sz="4"/>
              <w:bottom w:val="single" w:color="BDB6A6" w:sz="4"/>
              <w:right w:val="single" w:color="BDB6A6" w:sz="4"/>
            </w:tcBorders>
            <w:shd w:fill="EFEDE6" w:val="clear"/>
          </w:tcPr>
          <w:p>
            <w:pPr>
              <w:spacing w:after="40"/>
            </w:pPr>
            <w:r>
              <w:rPr>
                <w:rFonts w:ascii="IBM Plex Sans" w:cs="IBM Plex Sans" w:eastAsia="IBM Plex Sans" w:hAnsi="IBM Plex Sans"/>
                <w:b/>
                <w:bCs/>
                <w:color w:val="20242E"/>
                <w:sz w:val="18"/>
                <w:szCs w:val="18"/>
              </w:rPr>
              <w:t xml:space="preserve">Modifications</w:t>
            </w:r>
          </w:p>
        </w:tc>
      </w:tr>
      <w:tr>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1.0</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30.07.2026</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Création. Décisions méthodologiques de Thierry ; historique données et outil ; prochaines étapes.</w:t>
            </w:r>
          </w:p>
        </w:tc>
      </w:tr>
      <w:tr>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1.1</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31.08.2026</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Analyse Yverdon-Curtil-Maillet 27 ; conventions § 2.5 ; note de lecture ; mise en ligne /yverdon/ + accueil-menu.</w:t>
            </w:r>
          </w:p>
        </w:tc>
      </w:tr>
      <w:tr>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1.2</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02.09.2026</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Règles et formats du 02.09 (§ 2.6, Q17–Q21) ; fichier MMC intégré ; versions YV 1.1 et Kit local v1 ; livrables présentation ; correction Lez. 7 signalée ; prochaines étapes réordonnées.</w:t>
            </w:r>
          </w:p>
        </w:tc>
      </w:tr>
      <w:tr>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1.3</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07.09.2026</w:t>
            </w:r>
          </w:p>
        </w:tc>
        <w:tc>
          <w:tcPr>
            <w:tcW w:type="auto" w:w="0"/>
            <w:tcBorders>
              <w:top w:val="single" w:color="BDB6A6" w:sz="4"/>
              <w:left w:val="single" w:color="BDB6A6" w:sz="4"/>
              <w:bottom w:val="single" w:color="BDB6A6" w:sz="4"/>
              <w:right w:val="single" w:color="BDB6A6" w:sz="4"/>
            </w:tcBorders>
          </w:tcPr>
          <w:p>
            <w:pPr>
              <w:spacing w:after="40"/>
            </w:pPr>
            <w:r>
              <w:rPr>
                <w:rFonts w:ascii="IBM Plex Sans" w:cs="IBM Plex Sans" w:eastAsia="IBM Plex Sans" w:hAnsi="IBM Plex Sans"/>
                <w:b w:val="false"/>
                <w:bCs w:val="false"/>
                <w:color w:val="20242E"/>
                <w:sz w:val="18"/>
                <w:szCs w:val="18"/>
              </w:rPr>
              <w:t xml:space="preserve">Retours Thierry du 07.09 : Q17 porté à 300 ans, conventions 1–2 validées, Q22–Q24 ajoutés (granularité, TAQ de site, monnaie seule) ; phasage et attributions intégrés ; inventaire corrigé de Julie ; versions YV 1.2 et Kit v2.1 ; mise en ligne du présent document.</w:t>
            </w:r>
          </w:p>
        </w:tc>
      </w:tr>
    </w:tbl>
    <w:sectPr>
      <w:pgSz w:w="11906" w:h="16838" w:orient="portrait"/>
      <w:pgMar w:top="1300" w:right="1300" w:bottom="11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w:cs="IBM Plex Sans" w:eastAsia="IBM Plex Sans" w:hAnsi="IBM Plex Sans"/>
        <w:color w:val="20242E"/>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2026-09-07T18:37:41.996Z</dcterms:created>
  <dcterms:modified xsi:type="dcterms:W3CDTF">2026-09-07T18:37:42.011Z</dcterms:modified>
</cp:coreProperties>
</file>

<file path=docProps/custom.xml><?xml version="1.0" encoding="utf-8"?>
<Properties xmlns="http://schemas.openxmlformats.org/officeDocument/2006/custom-properties" xmlns:vt="http://schemas.openxmlformats.org/officeDocument/2006/docPropsVTypes"/>
</file>